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76" w:lineRule="auto"/>
        <w:rPr>
          <w:rFonts w:ascii="Segoe UI" w:hAnsi="Segoe UI" w:cs="Segoe UI"/>
          <w:b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4720" cy="1685925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ПРЕСС-РЕЛИЗ </w:t>
      </w:r>
    </w:p>
    <w:p>
      <w:pPr>
        <w:spacing w:after="0"/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18</w:t>
      </w:r>
      <w:r>
        <w:rPr>
          <w:rFonts w:ascii="Segoe UI" w:hAnsi="Segoe UI" w:cs="Segoe UI"/>
          <w:b/>
          <w:sz w:val="24"/>
          <w:szCs w:val="24"/>
          <w:lang w:val="en-US"/>
        </w:rPr>
        <w:t xml:space="preserve"> </w:t>
      </w:r>
      <w:r>
        <w:rPr>
          <w:rFonts w:ascii="Segoe UI" w:hAnsi="Segoe UI" w:cs="Segoe UI"/>
          <w:b/>
          <w:sz w:val="24"/>
          <w:szCs w:val="24"/>
        </w:rPr>
        <w:t>октября 2017</w:t>
      </w:r>
    </w:p>
    <w:p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>
      <w:pPr>
        <w:spacing w:after="0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Пять дней на регистрацию – если все документы в порядке</w:t>
      </w:r>
    </w:p>
    <w:p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>
      <w:pPr>
        <w:spacing w:after="0"/>
        <w:ind w:firstLine="708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На заседании общественного совета при Управлении </w:t>
      </w:r>
      <w:proofErr w:type="spellStart"/>
      <w:r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b/>
          <w:sz w:val="24"/>
          <w:szCs w:val="24"/>
        </w:rPr>
        <w:t xml:space="preserve"> по Самарской области обсудили актуальные вопросы предоставления услуг для бизнеса и граждан в сфере регистрации прав и кадастрового учета, а также проанализировали деятельность кадастровых инженеров, работающих на территории Самарской области. </w:t>
      </w:r>
    </w:p>
    <w:p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Развитие системы регистрации прав и кадастрового учета сегодня на особом контроле у министерства экономического развития РФ, поскольку от ее эффективности напрямую зависит и инвестиционная привлекательность субъекта федерации, и процветание бизнеса, и удобство для граждан, отметил в приветствии руководитель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Самарской области </w:t>
      </w:r>
      <w:r>
        <w:rPr>
          <w:rFonts w:ascii="Segoe UI" w:hAnsi="Segoe UI" w:cs="Segoe UI"/>
          <w:b/>
          <w:sz w:val="24"/>
          <w:szCs w:val="24"/>
        </w:rPr>
        <w:t>Вадим Маликов</w:t>
      </w:r>
      <w:r>
        <w:rPr>
          <w:rFonts w:ascii="Segoe UI" w:hAnsi="Segoe UI" w:cs="Segoe UI"/>
          <w:sz w:val="24"/>
          <w:szCs w:val="24"/>
        </w:rPr>
        <w:t xml:space="preserve">. </w:t>
      </w:r>
    </w:p>
    <w:p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Как улучшить качество предоставления услуг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, четко прописано в двух целевых моделях «Регистрация права собственности» и «Постановка на кадастровый учет», в реализации которых участвует и Самарская область. Отметим, что целевые модели выстроены в логике последовательности действий, которые осуществляет заявитель для получения земельного участка, здания, сооружения или объекта незавершенного строительства в собственность – с момента выбора объекта недвижимости до постановки его на кадастровый учет и оформления права собственности. Поэтому в реализации целевых моделей участвуют все органы власти и организации, которые задействованы в процессе оформления недвижимости, в том числе областное правительство, администрации муниципальных образований, кадастровые инженеры. Завершающая точка - регистрация прав и постановка на кадастровый учет - осуществляется Управлением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>. Срок регистрации права в Самарской области составляет в среднем 5 рабочих дней при целевом показателе 7 дней.</w:t>
      </w:r>
    </w:p>
    <w:p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Сокращается и количество приостановок и отказов в регистрации прав и кадастровом учете. В Управлении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отметили, что в числе причин приостановок и отказов – некачественно подготовленные кадастровыми инженерами межевые и технические планы. Гражданин или организация, </w:t>
      </w:r>
      <w:r>
        <w:rPr>
          <w:rFonts w:ascii="Segoe UI" w:hAnsi="Segoe UI" w:cs="Segoe UI"/>
          <w:sz w:val="24"/>
          <w:szCs w:val="24"/>
        </w:rPr>
        <w:lastRenderedPageBreak/>
        <w:t xml:space="preserve">оплатившие работу кадастрового инженера, не получили желаемого результата, а Управление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вынуждено отказать заявителю, что «тянет» Самарскую область вниз, не позволяя достичь высоких показателей. Чтобы снизить количество подобных отказов и приостановок, Управление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информирует кадастровых инженеров о типичных ошибках при подготовке межевых и технических планов и разъясняет, что должно быть в документе. </w:t>
      </w:r>
    </w:p>
    <w:p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Еще одна причина приостановок - непредставление органами местного самоуправления информации, запрашиваемой Управлением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. «Управление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направляет межведомственные запросы в электронном виде, - поделился с членами общественного совета Вадим Маликов. – Когда ответ не приходит, мы направляем запрос еще и в бумажном варианте. По итогам первого полугодия мы направили 717 повторных запросов, что составляет 38% от общего количества запросов в электронной форме. К сожалению, иногда и на такой запрос не считают необходимым отвечать. При этом сегодня можно отказаться от бумажной переписки как от неэффективного и затянутого во времени процесса».  </w:t>
      </w:r>
    </w:p>
    <w:p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Отвечая на вопросы членов общественного совета, представители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рассказали, что некоторые регионы расширили количество сведений, которыми можно обмениваться посредством электронного межведомственного взаимодействия для проведения регистрационных процедур. </w:t>
      </w:r>
      <w:proofErr w:type="gramStart"/>
      <w:r>
        <w:rPr>
          <w:rFonts w:ascii="Segoe UI" w:hAnsi="Segoe UI" w:cs="Segoe UI"/>
          <w:sz w:val="24"/>
          <w:szCs w:val="24"/>
        </w:rPr>
        <w:t>«В Самарской области тоже надо расширить этот список</w:t>
      </w:r>
      <w:proofErr w:type="gramEnd"/>
      <w:r>
        <w:rPr>
          <w:rFonts w:ascii="Segoe UI" w:hAnsi="Segoe UI" w:cs="Segoe UI"/>
          <w:sz w:val="24"/>
          <w:szCs w:val="24"/>
        </w:rPr>
        <w:t xml:space="preserve">, - считает член общественного совета, </w:t>
      </w:r>
      <w:r>
        <w:rPr>
          <w:rFonts w:ascii="Segoe UI" w:hAnsi="Segoe UI" w:cs="Segoe UI"/>
          <w:color w:val="000000"/>
          <w:sz w:val="24"/>
          <w:szCs w:val="24"/>
        </w:rPr>
        <w:t xml:space="preserve">региональный представитель Самарского регионального отделения «Федерация специалистов-оценщиков», директор ООО «Бюро оценки» </w:t>
      </w:r>
      <w:r>
        <w:rPr>
          <w:rFonts w:ascii="Segoe UI" w:hAnsi="Segoe UI" w:cs="Segoe UI"/>
          <w:b/>
          <w:sz w:val="24"/>
          <w:szCs w:val="24"/>
        </w:rPr>
        <w:t>Игорь Бурцев</w:t>
      </w:r>
      <w:r>
        <w:rPr>
          <w:rFonts w:ascii="Segoe UI" w:hAnsi="Segoe UI" w:cs="Segoe UI"/>
          <w:sz w:val="24"/>
          <w:szCs w:val="24"/>
        </w:rPr>
        <w:t xml:space="preserve">. – Предлагаю проанализировать успешный опыт других субъектов Российской Федерации, и внести наши предложения в правительство Самарской области». Предложение было горячо поддержано председателем Общественного совета при Управлении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Самарской области </w:t>
      </w:r>
      <w:r>
        <w:rPr>
          <w:rFonts w:ascii="Segoe UI" w:hAnsi="Segoe UI" w:cs="Segoe UI"/>
          <w:b/>
          <w:sz w:val="24"/>
          <w:szCs w:val="24"/>
        </w:rPr>
        <w:t>Валерием Фомичевым</w:t>
      </w:r>
      <w:r>
        <w:rPr>
          <w:rFonts w:ascii="Segoe UI" w:hAnsi="Segoe UI" w:cs="Segoe UI"/>
          <w:sz w:val="24"/>
          <w:szCs w:val="24"/>
        </w:rPr>
        <w:t xml:space="preserve">. «Целевые модели направлены на снижение административных барьеров, и конечно, все заявители выиграют, когда в Управление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будут поступать ответы органов власти, от которых зависит решение о регистрации. И конечно, надо прекращать тратить деньги на бумагу и почтовую доставку, когда есть современные механизмы электронного взаимодействия».</w:t>
      </w:r>
    </w:p>
    <w:p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</w:p>
    <w:p>
      <w:pPr>
        <w:spacing w:after="0"/>
        <w:rPr>
          <w:rFonts w:ascii="Segoe UI" w:hAnsi="Segoe UI" w:cs="Segoe UI"/>
          <w:sz w:val="24"/>
          <w:szCs w:val="24"/>
        </w:rPr>
      </w:pPr>
    </w:p>
    <w:p>
      <w:pPr>
        <w:suppressAutoHyphens/>
        <w:autoSpaceDE w:val="0"/>
        <w:autoSpaceDN w:val="0"/>
        <w:adjustRightInd w:val="0"/>
        <w:spacing w:before="240" w:after="0" w:line="240" w:lineRule="auto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229350" cy="0"/>
                <wp:effectExtent l="11430" t="6350" r="7620" b="1270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DD39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0;margin-top:.5pt;width:490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" strokecolor="#0070c0"/>
            </w:pict>
          </mc:Fallback>
        </mc:AlternateContent>
      </w:r>
    </w:p>
    <w:p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  <w:b/>
          <w:noProof/>
          <w:lang w:eastAsia="sk-SK"/>
        </w:rPr>
        <w:t xml:space="preserve">Контакты для СМИ: </w:t>
      </w:r>
      <w:r>
        <w:rPr>
          <w:rFonts w:ascii="Segoe UI" w:hAnsi="Segoe UI" w:cs="Segoe UI"/>
        </w:rPr>
        <w:t xml:space="preserve">Ольга Никитина, помощник руководителя Управления </w:t>
      </w:r>
      <w:proofErr w:type="spellStart"/>
      <w:r>
        <w:rPr>
          <w:rFonts w:ascii="Segoe UI" w:hAnsi="Segoe UI" w:cs="Segoe UI"/>
        </w:rPr>
        <w:t>Росреестра</w:t>
      </w:r>
      <w:proofErr w:type="spellEnd"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59264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8547099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28827" id="Прямая со стрелкой 2" o:spid="_x0000_s1026" type="#_x0000_t32" style="position:absolute;margin-left:57.85pt;margin-top:673pt;width:472.5pt;height:0;z-index:25165926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</w:p>
    <w:p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DDD95-7820-4DA3-B898-9004AB2A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1D880-A8AF-4BF5-A288-83D4E875A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cp:lastPrinted>2017-10-12T09:27:00Z</cp:lastPrinted>
  <dcterms:created xsi:type="dcterms:W3CDTF">2017-10-18T07:34:00Z</dcterms:created>
  <dcterms:modified xsi:type="dcterms:W3CDTF">2017-10-18T07:34:00Z</dcterms:modified>
</cp:coreProperties>
</file>